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186</w:t>
      </w:r>
    </w:p>
    <w:p>
      <w:r>
        <w:t>Bundesgericht (BGE), 2010-06-22, FR</w:t>
      </w:r>
    </w:p>
    <w:p>
      <w:r>
        <w:rPr>
          <w:b/>
        </w:rPr>
        <w:t xml:space="preserve">Quelle: </w:t>
      </w:r>
      <w:r>
        <w:t>https://mcp.opencaselaw.ch/entscheid/bge_137 IV 186</w:t>
      </w:r>
    </w:p>
    <w:p>
      <w:r>
        <w:t>FR: ATF 137 IV 186</w:t>
      </w:r>
    </w:p>
    <w:p>
      <w:r>
        <w:t>IT: DTF 137 IV 186</w:t>
      </w:r>
    </w:p>
    <w:p>
      <w:pPr>
        <w:pStyle w:val="Heading2"/>
      </w:pPr>
      <w:r>
        <w:t>Regeste</w:t>
      </w:r>
    </w:p>
    <w:p>
      <w:r>
        <w:t>Regeste Art. 233 StPO; Antrag auf Haftentlassung im Berufungsverfahren; kein Recht auf eine Verhandlung. Soweit Art. 233 StPO nicht ausdrücklich auf Art. 228 StPO verweist und der Anspruch auf rechtliches Gehör durch das kontradiktorische Verfahren ausreichend gewährleistet ist, hat der Beschuldigte keinen formellen Anspruch darauf, dass die Verfahrensleitung des Berufungsgerichts in mündlicher Verhandlung über sein Haftentlassungsgesuch entscheidet (E. 3).</w:t>
      </w:r>
    </w:p>
    <w:p>
      <w:pPr>
        <w:pStyle w:val="Heading2"/>
      </w:pPr>
      <w:r>
        <w:t>Erwägungen</w:t>
      </w:r>
    </w:p>
    <w:p>
      <w:r>
        <w:rPr>
          <w:b/>
        </w:rPr>
        <w:t>E. 3</w:t>
      </w:r>
    </w:p>
    <w:p>
      <w:r>
        <w:t>Le recourant considère qu'en ne convoquant pas une audience orale, l'autorité intimée a violé les règles prévues aux art. 228, 230 et 233 du code de procédure pénale suisse du 5 octobre 2007 (CPP; RS 312.0). L' art. 233 CPP , relatif aux demandes de libération déposées pendant la procédure devant la juridiction d'appel, prévoit que la direction de la procédure statue dans les cinq jours sur les demandes de libération. L' art. 230 CPP , qui règle la libération de la détention durant la procédure de première instance, renvoie à l' art. 228 CPP , BGE 137 IV 186 S. 188 applicable par analogie (al. 5). Ce dernier dispose, à son al. 4, que la décision peut être rendue en procédure écrite "si le prévenu renonce expressément à une audience". L' art. 233 CPP , applicable en l'espèce, n'opère pas de renvoi à l' art. 228 CPP , contrairement à l' art. 230 CPP . L'on peut dès lors se demander si les prescriptions de l' art. 228 CPP - notamment quant à la tenue d'une audience - doivent également être respectées en cas de libération requise en procédure d'appel.</w:t>
      </w:r>
    </w:p>
    <w:p>
      <w:r>
        <w:rPr>
          <w:b/>
        </w:rPr>
        <w:t>E. 3.1</w:t>
      </w:r>
    </w:p>
    <w:p>
      <w:r>
        <w:t>Le Message est muet sur cette question (Message du 21 décembre 2005 relatif à l'unification du droit de la procédure pénale, FF 2006 1217 [ci-après: Message]). Les avis sont partagés par la doctrine. Selon le commentaire bâlois, les dispositions de l' art. 228 CPP sont en principe applicables et le prévenu peut expressément renoncer à une audience (MARC FORSTER, in Basler Kommentar, Schweizerische Strafprozessordnung, 2011, n° 3 ad art. 233 CPP ). Pour le Commentaire romand, il apparaît également logique que la direction de la procédure de la juridiction d'appel respecte une procédure similaire à celle prévue à l' art. 228 CPP . La direction de la procédure doit ainsi donner l'occasion au ministère public de prendre position sur la demande de libération déposée par le prévenu ( art. 228 al. 2 CPP ) et à ce dernier de répliquer ( art. 228 al. 3 CPP ). En l'absence de disposition légale contraire, la procédure se poursuit par écrit. En effet, ni la CEDH, ni la Constitution n'imposent, lors de l'examen par le juge d'une demande de libération, que l'on procède à une audience orale ou à une audition individuelle du prévenu (DANIEL LOGOS, Commentaire romand, Code de procédure pénale suisse, 2011, n° 14 ad art. 233 CPP ).</w:t>
      </w:r>
    </w:p>
    <w:p>
      <w:r>
        <w:rPr>
          <w:b/>
        </w:rPr>
        <w:t>E. 3.2</w:t>
      </w:r>
    </w:p>
    <w:p>
      <w:r>
        <w:t>Dans la mesure où l' art. 233 CPP ne fait pas de renvoi explicite à l' art. 228 CPP et que le droit d'être entendu est suffisamment garanti par la procédure contradictoire, il apparaît que le prévenu ne dispose en principe pas d'un droit formel à la tenue d'une audience lorsque la juridiction d'appel statue sur sa demande de libération. Une telle interprétation se justifie également par l'avancement de la procédure, les faits incriminés ayant déjà fait l'objet de l'administration des preuves en procédure préliminaire et devant l'autorité de première instance et le prévenu ayant normalement pu s'exprimer oralement à ces occasions. Dans cet ordre d'idée, le CPP prévoit d'ailleurs, en règle générale, une procédure écrite en cas de prolongation de la détention provisoire ( art. 227 al. 6 CPP ) alors que le prévenu doit comparaître d'office devant le Tribunal des mesures de contrainte BGE 137 IV 186 S. 189 avant qu'il ne soit statué sur le principe de sa détention provisoire et qu'il n'est alors possible de renoncer à l'audience orale que si l'intéressé le demande expressément ( art. 225 al. 1 et 5 CPP ; Message, op. cit., FF 2006 1213). Il en est de même en cas de détention pour des motifs de sûreté, la procédure étant différente selon qu'il y a déjà eu ou non une mesure de détention provisoire préalable (cf. art. 229 al. 3 CPP ). Il pourrait toutefois en aller différemment notamment si des faits nouveaux sont découverts ou si les circonstances se sont modifiées depuis le jugement de première instance, de telle sorte qu'une audience apparaisse nécessaire. Dans ces cas-là, rien n'empêche la direction de la procédure de la juridiction d'appel de procéder, d'office, à une audition personnelle du prévenu (cf. art. 227 al. 6 CPP ).</w:t>
      </w:r>
    </w:p>
    <w:p>
      <w:r>
        <w:rPr>
          <w:b/>
        </w:rPr>
        <w:t>E. 3.3</w:t>
      </w:r>
    </w:p>
    <w:p>
      <w:r>
        <w:t>En l'espèce, la Cour de justice pouvait renoncer à entendre personnellement le recourant, celui-ci n'expliquant pas en quoi une telle audition aurait été nécessaire et ne faisant au demeurant pas valoir qu'il aurait souhaité développer oralement des arguments qui ne seraient pas contenus dans ses écritures. Mal fondé,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